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78261">
      <w:pPr>
        <w:pStyle w:val="2"/>
        <w:keepNext w:val="0"/>
        <w:keepLines w:val="0"/>
        <w:pageBreakBefore w:val="0"/>
        <w:widowControl w:val="0"/>
        <w:kinsoku/>
        <w:overflowPunct/>
        <w:topLinePunct w:val="0"/>
        <w:autoSpaceDE/>
        <w:autoSpaceDN/>
        <w:bidi w:val="0"/>
        <w:spacing w:after="0" w:line="60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E78EBC5">
      <w:pPr>
        <w:keepNext w:val="0"/>
        <w:keepLines w:val="0"/>
        <w:pageBreakBefore w:val="0"/>
        <w:widowControl w:val="0"/>
        <w:kinsoku/>
        <w:overflowPunct/>
        <w:topLinePunct w:val="0"/>
        <w:autoSpaceDE/>
        <w:autoSpaceDN/>
        <w:bidi w:val="0"/>
        <w:adjustRightInd w:val="0"/>
        <w:snapToGrid w:val="0"/>
        <w:spacing w:line="600" w:lineRule="exact"/>
        <w:ind w:right="0"/>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包头市2024年“约惠鹿城”家装厨卫</w:t>
      </w:r>
    </w:p>
    <w:p w14:paraId="224CAB94">
      <w:pPr>
        <w:keepNext w:val="0"/>
        <w:keepLines w:val="0"/>
        <w:pageBreakBefore w:val="0"/>
        <w:widowControl w:val="0"/>
        <w:kinsoku/>
        <w:overflowPunct/>
        <w:topLinePunct w:val="0"/>
        <w:autoSpaceDE/>
        <w:autoSpaceDN/>
        <w:bidi w:val="0"/>
        <w:adjustRightInd w:val="0"/>
        <w:snapToGrid w:val="0"/>
        <w:spacing w:line="600" w:lineRule="exact"/>
        <w:ind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“焕新”补贴活动</w:t>
      </w:r>
      <w:r>
        <w:rPr>
          <w:rFonts w:hint="eastAsia" w:ascii="方正小标宋简体" w:hAnsi="方正小标宋简体" w:eastAsia="方正小标宋简体" w:cs="方正小标宋简体"/>
          <w:b w:val="0"/>
          <w:bCs w:val="0"/>
          <w:sz w:val="44"/>
          <w:szCs w:val="44"/>
        </w:rPr>
        <w:t>企业承诺书</w:t>
      </w:r>
      <w:bookmarkEnd w:id="0"/>
    </w:p>
    <w:p w14:paraId="5A70F010">
      <w:pPr>
        <w:keepNext w:val="0"/>
        <w:keepLines w:val="0"/>
        <w:pageBreakBefore w:val="0"/>
        <w:widowControl w:val="0"/>
        <w:kinsoku/>
        <w:overflowPunct/>
        <w:topLinePunct w:val="0"/>
        <w:autoSpaceDE/>
        <w:autoSpaceDN/>
        <w:bidi w:val="0"/>
        <w:adjustRightInd w:val="0"/>
        <w:snapToGrid w:val="0"/>
        <w:spacing w:line="600" w:lineRule="exact"/>
        <w:ind w:right="0" w:firstLine="640" w:firstLineChars="200"/>
        <w:jc w:val="both"/>
        <w:textAlignment w:val="auto"/>
        <w:rPr>
          <w:rFonts w:hint="eastAsia" w:ascii="仿宋_GB2312" w:eastAsia="仿宋_GB2312"/>
          <w:sz w:val="32"/>
          <w:szCs w:val="32"/>
        </w:rPr>
      </w:pPr>
    </w:p>
    <w:p w14:paraId="48F69D47">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本单位自愿参加</w:t>
      </w:r>
      <w:r>
        <w:rPr>
          <w:rFonts w:hint="eastAsia" w:ascii="仿宋_GB2312" w:eastAsia="仿宋_GB2312"/>
          <w:sz w:val="32"/>
          <w:szCs w:val="32"/>
          <w:lang w:eastAsia="zh-CN"/>
        </w:rPr>
        <w:t>包头市</w:t>
      </w:r>
      <w:r>
        <w:rPr>
          <w:rFonts w:hint="eastAsia" w:ascii="Times New Roman" w:hAnsi="Times New Roman" w:eastAsia="仿宋_GB2312" w:cs="Times New Roman"/>
          <w:snapToGrid w:val="0"/>
          <w:color w:val="auto"/>
          <w:spacing w:val="6"/>
          <w:kern w:val="2"/>
          <w:sz w:val="32"/>
          <w:szCs w:val="32"/>
          <w:lang w:val="en-US" w:eastAsia="zh-CN" w:bidi="ar-SA"/>
        </w:rPr>
        <w:t>2024</w:t>
      </w:r>
      <w:r>
        <w:rPr>
          <w:rFonts w:hint="eastAsia" w:ascii="仿宋_GB2312" w:eastAsia="仿宋_GB2312"/>
          <w:sz w:val="32"/>
          <w:szCs w:val="32"/>
          <w:lang w:eastAsia="zh-CN"/>
        </w:rPr>
        <w:t>年“约惠鹿城”家装厨卫“焕新”补贴活动</w:t>
      </w:r>
      <w:r>
        <w:rPr>
          <w:rFonts w:hint="eastAsia" w:ascii="仿宋_GB2312" w:eastAsia="仿宋_GB2312"/>
          <w:sz w:val="32"/>
          <w:szCs w:val="32"/>
        </w:rPr>
        <w:t>,了解并</w:t>
      </w:r>
      <w:r>
        <w:rPr>
          <w:rFonts w:hint="eastAsia" w:ascii="仿宋_GB2312" w:hAnsi="仿宋_GB2312" w:eastAsia="仿宋_GB2312" w:cs="仿宋_GB2312"/>
          <w:sz w:val="32"/>
          <w:szCs w:val="32"/>
        </w:rPr>
        <w:t>遵守以下规则要求：</w:t>
      </w:r>
    </w:p>
    <w:p w14:paraId="29C08C89">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严格遵</w:t>
      </w:r>
      <w:r>
        <w:rPr>
          <w:rFonts w:hint="eastAsia" w:ascii="仿宋_GB2312" w:eastAsia="仿宋_GB2312" w:cs="Times New Roman"/>
          <w:sz w:val="32"/>
          <w:szCs w:val="32"/>
        </w:rPr>
        <w:t>守</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eastAsia="zh-Hans"/>
        </w:rPr>
        <w:t>包头市</w:t>
      </w:r>
      <w:r>
        <w:rPr>
          <w:rFonts w:hint="default" w:ascii="Times New Roman" w:hAnsi="Times New Roman" w:eastAsia="仿宋_GB2312" w:cs="Times New Roman"/>
          <w:snapToGrid w:val="0"/>
          <w:color w:val="auto"/>
          <w:spacing w:val="6"/>
          <w:kern w:val="2"/>
          <w:sz w:val="32"/>
          <w:szCs w:val="32"/>
          <w:lang w:val="en-US" w:eastAsia="zh-Hans" w:bidi="ar-SA"/>
        </w:rPr>
        <w:t>2024</w:t>
      </w:r>
      <w:r>
        <w:rPr>
          <w:rFonts w:hint="default" w:ascii="仿宋_GB2312" w:eastAsia="仿宋_GB2312" w:cs="Times New Roman"/>
          <w:sz w:val="32"/>
          <w:szCs w:val="32"/>
          <w:lang w:eastAsia="zh-Hans"/>
        </w:rPr>
        <w:t>年</w:t>
      </w:r>
      <w:r>
        <w:rPr>
          <w:rFonts w:hint="eastAsia" w:ascii="仿宋_GB2312" w:eastAsia="仿宋_GB2312" w:cs="Times New Roman"/>
          <w:sz w:val="32"/>
          <w:szCs w:val="32"/>
          <w:lang w:eastAsia="zh-CN"/>
        </w:rPr>
        <w:t>“约惠鹿城”家装厨卫“焕新”补贴活动实施</w:t>
      </w:r>
      <w:r>
        <w:rPr>
          <w:rFonts w:hint="default" w:ascii="仿宋_GB2312" w:eastAsia="仿宋_GB2312" w:cs="Times New Roman"/>
          <w:sz w:val="32"/>
          <w:szCs w:val="32"/>
          <w:lang w:eastAsia="zh-Hans"/>
        </w:rPr>
        <w:t>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相关要求</w:t>
      </w:r>
      <w:r>
        <w:rPr>
          <w:rFonts w:hint="eastAsia" w:ascii="仿宋_GB2312" w:hAnsi="仿宋_GB2312" w:eastAsia="仿宋_GB2312" w:cs="仿宋_GB2312"/>
          <w:sz w:val="32"/>
          <w:szCs w:val="32"/>
        </w:rPr>
        <w:t>，认真实施家装厨卫“焕新”工作。</w:t>
      </w:r>
    </w:p>
    <w:p w14:paraId="47D5FFC8">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家装厨卫产品价格为活动优惠价。</w:t>
      </w:r>
    </w:p>
    <w:p w14:paraId="21D74A39">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三、加强销售网点现场管理，杜绝商场内出现非法中介人员或驻店厂商人员向家装厨卫购买人兜售消费券。</w:t>
      </w:r>
    </w:p>
    <w:p w14:paraId="688F4DB5">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四、能及时准确提供家装厨卫“焕新”活动的所有信息。确保购买新家装厨卫的发票金额与该笔订单交易的金额一致。</w:t>
      </w:r>
    </w:p>
    <w:p w14:paraId="67751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五、在消费者核销购买商品时，</w:t>
      </w:r>
      <w:r>
        <w:rPr>
          <w:rFonts w:hint="eastAsia" w:ascii="仿宋_GB2312" w:hAnsi="仿宋_GB2312" w:eastAsia="仿宋_GB2312" w:cs="仿宋_GB2312"/>
          <w:b/>
          <w:bCs/>
          <w:sz w:val="32"/>
          <w:szCs w:val="32"/>
        </w:rPr>
        <w:t>仅用于家具类：床、床垫、沙发、桌子、椅子、衣柜（含定制）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厨卫洁具类：烹饪机、料理机、消毒柜、橱柜（含定制）、面盆、浴缸、坐便器、水龙头、淋浴器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家装建材类：木地板、瓷砖、门（含定制）、灯具、整体柜（含定制）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智能家居类：智能床垫、智能马桶、智能门锁、智能照明、智能窗帘、智能晾衣架、智能扫地机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适老化产品类：老年人护理床、轮椅（助行器）、适老桌、安全监控装置、自动感应灯具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不得用于其他类商品优惠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本单位承诺无虚假宣传、虚假交易行为。上述行为一经发现，主办方及承办方可立刻取消企业活动参与资格，向企业追回违规发放资金并将企业列入失信名单。</w:t>
      </w:r>
    </w:p>
    <w:p w14:paraId="0A685EF4">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六、诚信经营，保证商品质量和服务质量，杜绝假冒伪劣、以次充好、以旧充新的产品进入市场流通。主动制止任何方式套取财政资金的违反活动规则、恶意骗取优惠的行为。</w:t>
      </w:r>
    </w:p>
    <w:p w14:paraId="7B3895A0">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要求布放活动宣传物料,须提供不少于1种宣传物料支持，如海报、收银台台卡等。主办方及承办方有权在自有宣传渠道免费使用商户商标、标志、标识和店铺图片等用于本次活动宣传，自有宣传渠道不限于短信、微信、官网等。本单位保证所提供的图片未侵犯他人的任何权利。</w:t>
      </w:r>
    </w:p>
    <w:p w14:paraId="33DE228A">
      <w:pPr>
        <w:pStyle w:val="3"/>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八、保留相应的</w:t>
      </w:r>
      <w:r>
        <w:rPr>
          <w:rFonts w:hint="eastAsia" w:ascii="仿宋_GB2312" w:hAnsi="仿宋_GB2312" w:eastAsia="仿宋_GB2312" w:cs="仿宋_GB2312"/>
          <w:sz w:val="32"/>
          <w:szCs w:val="32"/>
          <w:lang w:val="en-US" w:eastAsia="zh-CN"/>
        </w:rPr>
        <w:t>资金使用</w:t>
      </w:r>
      <w:r>
        <w:rPr>
          <w:rFonts w:hint="eastAsia" w:ascii="仿宋_GB2312" w:hAnsi="仿宋_GB2312" w:eastAsia="仿宋_GB2312" w:cs="仿宋_GB2312"/>
          <w:sz w:val="32"/>
          <w:szCs w:val="32"/>
        </w:rPr>
        <w:t>凭证资料</w:t>
      </w:r>
      <w:r>
        <w:rPr>
          <w:rFonts w:hint="eastAsia" w:ascii="仿宋_GB2312" w:hAnsi="仿宋_GB2312" w:eastAsia="仿宋_GB2312" w:cs="仿宋_GB2312"/>
          <w:sz w:val="32"/>
          <w:szCs w:val="32"/>
          <w:lang w:eastAsia="zh-CN"/>
        </w:rPr>
        <w:t>（包括但不限于发票、商户银联存根、产品送货上门后的实时照片、相关合同协议等）</w:t>
      </w:r>
      <w:r>
        <w:rPr>
          <w:rFonts w:hint="eastAsia" w:ascii="仿宋_GB2312" w:hAnsi="仿宋_GB2312" w:eastAsia="仿宋_GB2312" w:cs="仿宋_GB2312"/>
          <w:sz w:val="32"/>
          <w:szCs w:val="32"/>
        </w:rPr>
        <w:t>，形成台账，将相应台账资料提交给主办方及承办方，并在第三方审计时配合提供相关审计材料。做好清算工作，按规定退回不符合条件的补贴资金。</w:t>
      </w:r>
    </w:p>
    <w:p w14:paraId="053DBBAF">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主办方及承办方有权通过后台技术手段监测营销活动实施，如发现商家存在作弊舞弊、利用不正当手段（包括但不限于刷单、套现、提供虚假证件或发票、虚假交易、非面对面扫码交易等）骗取套取补贴资金等违法违规行为，主办方及承办方立即收回已发全部补贴资金，并取消企业和补贴对象参与后续活动的资格。</w:t>
      </w:r>
    </w:p>
    <w:p w14:paraId="78771B45">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十、参与活动的企业与市商务局签署协议，采用“商户100%出资且不打款”方式对消费券优惠金额进行垫付。</w:t>
      </w:r>
    </w:p>
    <w:p w14:paraId="24A12A37">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十一、本次活动面向个人消费者，</w:t>
      </w:r>
      <w:r>
        <w:rPr>
          <w:rFonts w:hint="eastAsia" w:ascii="仿宋_GB2312" w:hAnsi="仿宋_GB2312" w:eastAsia="仿宋_GB2312" w:cs="仿宋_GB2312"/>
          <w:sz w:val="32"/>
          <w:szCs w:val="32"/>
          <w:lang w:eastAsia="zh-CN"/>
        </w:rPr>
        <w:t>家装厨卫</w:t>
      </w:r>
      <w:r>
        <w:rPr>
          <w:rFonts w:hint="eastAsia" w:ascii="仿宋_GB2312" w:hAnsi="仿宋_GB2312" w:eastAsia="仿宋_GB2312" w:cs="仿宋_GB2312"/>
          <w:sz w:val="32"/>
          <w:szCs w:val="32"/>
        </w:rPr>
        <w:t>销售主体须向消费者开具实名销售发票。发票价格合计金额应为“消费者个人实际支付金额+政府补贴金额”</w:t>
      </w:r>
    </w:p>
    <w:p w14:paraId="63BC56BD">
      <w:pPr>
        <w:keepNext w:val="0"/>
        <w:keepLines w:val="0"/>
        <w:pageBreakBefore w:val="0"/>
        <w:widowControl w:val="0"/>
        <w:kinsoku/>
        <w:overflowPunct/>
        <w:topLinePunct w:val="0"/>
        <w:autoSpaceDE/>
        <w:autoSpaceDN/>
        <w:bidi w:val="0"/>
        <w:adjustRightInd w:val="0"/>
        <w:snapToGrid w:val="0"/>
        <w:spacing w:line="600" w:lineRule="exact"/>
        <w:ind w:left="0" w:leftChars="0" w:right="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、因本单位提供的服务及产品问题引发的用户投诉、处理和争议等，应由本单位自行负责解决，主办方及承办方不承担任何责任。</w:t>
      </w:r>
    </w:p>
    <w:p w14:paraId="3BDB35DB">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600" w:lineRule="exact"/>
        <w:ind w:right="0"/>
        <w:jc w:val="both"/>
        <w:textAlignment w:val="auto"/>
        <w:rPr>
          <w:rFonts w:hint="eastAsia" w:ascii="仿宋_GB2312" w:eastAsia="仿宋_GB2312"/>
          <w:sz w:val="32"/>
          <w:szCs w:val="32"/>
        </w:rPr>
      </w:pPr>
    </w:p>
    <w:p w14:paraId="142AFA90">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600" w:lineRule="exact"/>
        <w:ind w:right="0"/>
        <w:jc w:val="both"/>
        <w:textAlignment w:val="auto"/>
        <w:rPr>
          <w:rFonts w:hint="eastAsia" w:ascii="仿宋_GB2312" w:eastAsia="仿宋_GB2312"/>
          <w:sz w:val="32"/>
          <w:szCs w:val="32"/>
        </w:rPr>
      </w:pPr>
      <w:r>
        <w:rPr>
          <w:rFonts w:hint="eastAsia" w:ascii="仿宋_GB2312" w:eastAsia="仿宋_GB2312"/>
          <w:sz w:val="32"/>
          <w:szCs w:val="32"/>
        </w:rPr>
        <w:t>负责人（签字）：           单位名称（盖章）：</w:t>
      </w:r>
    </w:p>
    <w:p w14:paraId="5FF91FEF">
      <w:pPr>
        <w:keepNext w:val="0"/>
        <w:keepLines w:val="0"/>
        <w:pageBreakBefore w:val="0"/>
        <w:widowControl w:val="0"/>
        <w:kinsoku/>
        <w:wordWrap w:val="0"/>
        <w:overflowPunct/>
        <w:topLinePunct w:val="0"/>
        <w:autoSpaceDE/>
        <w:autoSpaceDN/>
        <w:bidi w:val="0"/>
        <w:adjustRightInd w:val="0"/>
        <w:snapToGrid w:val="0"/>
        <w:spacing w:line="600" w:lineRule="exact"/>
        <w:ind w:right="0" w:firstLine="4980" w:firstLineChars="1500"/>
        <w:jc w:val="both"/>
        <w:textAlignment w:val="auto"/>
        <w:outlineLvl w:val="1"/>
        <w:rPr>
          <w:rFonts w:hint="eastAsia" w:ascii="仿宋_GB2312" w:eastAsia="仿宋_GB2312"/>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_GB2312" w:cs="Times New Roman"/>
          <w:snapToGrid w:val="0"/>
          <w:color w:val="auto"/>
          <w:spacing w:val="6"/>
          <w:kern w:val="2"/>
          <w:sz w:val="32"/>
          <w:szCs w:val="32"/>
          <w:lang w:val="en-US" w:eastAsia="zh-CN" w:bidi="ar-SA"/>
        </w:rPr>
        <w:t>2024</w:t>
      </w:r>
      <w:r>
        <w:rPr>
          <w:rFonts w:hint="eastAsia" w:ascii="仿宋_GB2312" w:eastAsia="仿宋_GB2312"/>
          <w:sz w:val="32"/>
          <w:szCs w:val="32"/>
        </w:rPr>
        <w:t xml:space="preserve">年  </w:t>
      </w:r>
      <w:r>
        <w:rPr>
          <w:rFonts w:ascii="仿宋_GB2312" w:eastAsia="仿宋_GB2312"/>
          <w:sz w:val="32"/>
          <w:szCs w:val="32"/>
        </w:rPr>
        <w:t>月</w:t>
      </w:r>
      <w:r>
        <w:rPr>
          <w:rFonts w:hint="eastAsia" w:ascii="仿宋_GB2312" w:eastAsia="仿宋_GB2312"/>
          <w:sz w:val="32"/>
          <w:szCs w:val="32"/>
        </w:rPr>
        <w:t xml:space="preserve">  </w:t>
      </w:r>
    </w:p>
    <w:p w14:paraId="64AF8D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76AB">
    <w:pPr>
      <w:pStyle w:val="4"/>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MWE2MmYyMWJjNjFkNmQ0NTc2ZDg0MjdkNmI4ZGIifQ=="/>
  </w:docVars>
  <w:rsids>
    <w:rsidRoot w:val="00000000"/>
    <w:rsid w:val="41E3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Normal Indent"/>
    <w:basedOn w:val="1"/>
    <w:next w:val="1"/>
    <w:qFormat/>
    <w:uiPriority w:val="0"/>
    <w:pPr>
      <w:ind w:firstLine="4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2024-10-22T01:24:03Z</dcterms:created>
  <dc:creator>HUAWEI</dc:creator>
  <cp:lastModifiedBy>郝郝郝莉媛</cp:lastModifiedBy>
  <dcterms:modified xsi:type="dcterms:W3CDTF">2024-10-22T01:25:34Z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21571C1E903D45DA97031B5363DD643C_13</vt:lpwstr>
  </property>
</Properties>
</file>